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5C56C1" w14:paraId="19076ED3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7E254EB0" w14:textId="77777777" w:rsidR="005C56C1" w:rsidRDefault="009F4270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14:paraId="7848B9A9" w14:textId="77777777" w:rsidR="005C56C1" w:rsidRDefault="009F4270">
            <w:pPr>
              <w:spacing w:after="0" w:line="240" w:lineRule="auto"/>
            </w:pPr>
            <w:r>
              <w:t>37898</w:t>
            </w:r>
          </w:p>
        </w:tc>
      </w:tr>
      <w:tr w:rsidR="005C56C1" w14:paraId="77E012B9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4D3353D1" w14:textId="77777777" w:rsidR="005C56C1" w:rsidRDefault="009F4270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14:paraId="4523577C" w14:textId="77777777" w:rsidR="005C56C1" w:rsidRDefault="009F4270">
            <w:pPr>
              <w:spacing w:after="0" w:line="240" w:lineRule="auto"/>
            </w:pPr>
            <w:r>
              <w:t>OPĆINA BEDEKOVČINA</w:t>
            </w:r>
          </w:p>
        </w:tc>
      </w:tr>
      <w:tr w:rsidR="005C56C1" w14:paraId="048CBCF7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6A3B4BE0" w14:textId="77777777" w:rsidR="005C56C1" w:rsidRDefault="009F4270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14:paraId="7FDAB633" w14:textId="77777777" w:rsidR="005C56C1" w:rsidRDefault="009F4270">
            <w:pPr>
              <w:spacing w:after="0" w:line="240" w:lineRule="auto"/>
            </w:pPr>
            <w:r>
              <w:t>23</w:t>
            </w:r>
          </w:p>
        </w:tc>
      </w:tr>
    </w:tbl>
    <w:p w14:paraId="2639FBB7" w14:textId="77777777" w:rsidR="005C56C1" w:rsidRDefault="009F4270">
      <w:r>
        <w:br/>
      </w:r>
    </w:p>
    <w:p w14:paraId="197A66DC" w14:textId="77777777" w:rsidR="005C56C1" w:rsidRDefault="009F4270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14:paraId="07C8D56D" w14:textId="77777777" w:rsidR="005C56C1" w:rsidRDefault="009F4270">
      <w:pPr>
        <w:spacing w:line="240" w:lineRule="auto"/>
        <w:jc w:val="center"/>
      </w:pPr>
      <w:r>
        <w:rPr>
          <w:b/>
          <w:sz w:val="28"/>
        </w:rPr>
        <w:t>ZA RAZDOBLJE</w:t>
      </w:r>
    </w:p>
    <w:p w14:paraId="3EB05F5C" w14:textId="77777777" w:rsidR="005C56C1" w:rsidRDefault="009F4270">
      <w:pPr>
        <w:spacing w:line="240" w:lineRule="auto"/>
        <w:jc w:val="center"/>
      </w:pPr>
      <w:r>
        <w:rPr>
          <w:b/>
          <w:sz w:val="28"/>
        </w:rPr>
        <w:t>I - VI 2025.</w:t>
      </w:r>
    </w:p>
    <w:p w14:paraId="0F471F12" w14:textId="77777777" w:rsidR="005C56C1" w:rsidRDefault="005C56C1"/>
    <w:p w14:paraId="367FB66E" w14:textId="77777777" w:rsidR="005C56C1" w:rsidRDefault="009F4270">
      <w:pPr>
        <w:keepNext/>
        <w:spacing w:line="240" w:lineRule="auto"/>
        <w:jc w:val="center"/>
      </w:pPr>
      <w:r>
        <w:rPr>
          <w:b/>
          <w:sz w:val="28"/>
        </w:rPr>
        <w:t>Izvještaj o prihodima i rashodima, primicima i izdacima</w:t>
      </w:r>
    </w:p>
    <w:p w14:paraId="5C8658F9" w14:textId="77777777" w:rsidR="005C56C1" w:rsidRDefault="009F4270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5C56C1" w14:paraId="38E0BE2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9103F72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5EBCF9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0847E04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5E3261D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39E506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1403C0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5C56C1" w14:paraId="7466FA0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0EBE378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4822B64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0C76907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D15193E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2.559.158,74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D76485A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2.818.112,97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DC25C98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110,1</w:t>
            </w:r>
          </w:p>
        </w:tc>
      </w:tr>
      <w:tr w:rsidR="005C56C1" w14:paraId="2EF6EE9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D92AAF9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EB5D06C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09A164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C81515F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1.284.083,85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81B6D66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2.162.081,96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40AB43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168,4</w:t>
            </w:r>
          </w:p>
        </w:tc>
      </w:tr>
      <w:tr w:rsidR="005C56C1" w14:paraId="4157E053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2B50F2" w14:textId="77777777" w:rsidR="005C56C1" w:rsidRDefault="005C56C1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2CD420F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(šifre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76C13BC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83E0EC8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1.275.074,89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FC9CF52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656.031,01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C234D44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51,5</w:t>
            </w:r>
          </w:p>
        </w:tc>
      </w:tr>
      <w:tr w:rsidR="005C56C1" w14:paraId="18F8E2F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345B9F3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4FB8B67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1FA604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630B8BF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176,94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62C7AA9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8.075,12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36A883A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4563,8</w:t>
            </w:r>
          </w:p>
        </w:tc>
      </w:tr>
      <w:tr w:rsidR="005C56C1" w14:paraId="0AC720E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2761DD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4E2301B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45C46F6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31B2C53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1.411.189,95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48047A4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974.023,13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8493019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69,0</w:t>
            </w:r>
          </w:p>
        </w:tc>
      </w:tr>
      <w:tr w:rsidR="005C56C1" w14:paraId="3DA2A3F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445EE06" w14:textId="77777777" w:rsidR="005C56C1" w:rsidRDefault="005C56C1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9C9272F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4F10919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DF6C172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1.411.013,01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E68298C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965.948,01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D0ED8DD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68,5</w:t>
            </w:r>
          </w:p>
        </w:tc>
      </w:tr>
      <w:tr w:rsidR="005C56C1" w14:paraId="1A516EF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37973E1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55F5236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4E1A26E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F21345F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991.711,17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7E2F541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300.404,79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8E7A929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30,3</w:t>
            </w:r>
          </w:p>
        </w:tc>
      </w:tr>
      <w:tr w:rsidR="005C56C1" w14:paraId="1593B25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1B2192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8E3B315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25A0CAF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3A59088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70.169,18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1A68E04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431.986,77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DA31CC7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615,6</w:t>
            </w:r>
          </w:p>
        </w:tc>
      </w:tr>
      <w:tr w:rsidR="005C56C1" w14:paraId="7CA1A108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E2EA334" w14:textId="77777777" w:rsidR="005C56C1" w:rsidRDefault="005C56C1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E37E0AD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PRIMITAKA OD FINANCIJSKE IMOVINE I ZADUŽIVANJA (šifre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0B31E13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2956E7B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9BC4BA2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131.581,98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7AE8141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5C56C1" w14:paraId="681D3362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FABAB03" w14:textId="77777777" w:rsidR="005C56C1" w:rsidRDefault="005C56C1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7CC7CB6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(šifre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AD93E2A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B32A840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16D74AB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441.498,98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21A0A9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</w:tbl>
    <w:p w14:paraId="43491516" w14:textId="77777777" w:rsidR="005C56C1" w:rsidRDefault="005C56C1">
      <w:pPr>
        <w:spacing w:after="0"/>
      </w:pPr>
    </w:p>
    <w:p w14:paraId="65BAC8B4" w14:textId="77777777" w:rsidR="005C56C1" w:rsidRDefault="009F4270">
      <w:pPr>
        <w:spacing w:line="240" w:lineRule="auto"/>
        <w:jc w:val="both"/>
      </w:pPr>
      <w:r>
        <w:t>Manjak prihoda i primitaka na kraju izvještajnog razdoblja rezultat je relativno male prodaje nefinancijske imovine u odnosu na njezinu nabavu te manji primitak iz kredita u izvještajnom razdoblju u odnosu na otplate 4 dugoročna kredita. Taj manjak pokriva se iz prenesenog viška prihoda i primitaka poslovanja iz prethodne godine. Najveći dio odnosi se na Općinu Bedekovčina, a manji dio na Dječji vrtić Bedekovčina i Općinsku knjižnicu i čitaonicu Bedekovčina.</w:t>
      </w:r>
    </w:p>
    <w:p w14:paraId="49B287D1" w14:textId="77777777" w:rsidR="005C56C1" w:rsidRDefault="009F4270">
      <w:r>
        <w:lastRenderedPageBreak/>
        <w:br/>
      </w:r>
    </w:p>
    <w:p w14:paraId="61114261" w14:textId="77777777" w:rsidR="005C56C1" w:rsidRDefault="009F4270">
      <w:pPr>
        <w:keepNext/>
        <w:spacing w:line="240" w:lineRule="auto"/>
        <w:jc w:val="center"/>
      </w:pPr>
      <w:r>
        <w:rPr>
          <w:b/>
          <w:sz w:val="28"/>
        </w:rPr>
        <w:t>Izvještaj o obvezama</w:t>
      </w:r>
    </w:p>
    <w:p w14:paraId="6E2C5AD4" w14:textId="77777777" w:rsidR="005C56C1" w:rsidRDefault="009F4270">
      <w:pPr>
        <w:keepNext/>
        <w:spacing w:line="240" w:lineRule="auto"/>
        <w:jc w:val="center"/>
      </w:pPr>
      <w:r>
        <w:rPr>
          <w:sz w:val="28"/>
        </w:rPr>
        <w:t>Bilješka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5C56C1" w14:paraId="5A75A6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A55DD1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10CFCDC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A4D46E8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1A61AF5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C6504CA" w14:textId="77777777" w:rsidR="005C56C1" w:rsidRDefault="009F427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5C56C1" w14:paraId="744A4187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E8C019F" w14:textId="77777777" w:rsidR="005C56C1" w:rsidRDefault="005C56C1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C272F18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dospjelih obveza na kraju izvještajnog razdoblja (šifre V008+D23+D24 + 'D dio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4668C9" w14:textId="77777777" w:rsidR="005C56C1" w:rsidRDefault="009F427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62EC248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E02723" w14:textId="77777777" w:rsidR="005C56C1" w:rsidRDefault="009F427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5FC0D3BF" w14:textId="77777777" w:rsidR="005C56C1" w:rsidRDefault="005C56C1">
      <w:pPr>
        <w:spacing w:after="0"/>
      </w:pPr>
    </w:p>
    <w:p w14:paraId="03884266" w14:textId="77777777" w:rsidR="005C56C1" w:rsidRDefault="009F4270">
      <w:pPr>
        <w:spacing w:line="240" w:lineRule="auto"/>
        <w:jc w:val="both"/>
      </w:pPr>
      <w:r>
        <w:t>Na kraju izvještajnog razdoblja nema dospjelih obveza.</w:t>
      </w:r>
    </w:p>
    <w:p w14:paraId="1D67E7C6" w14:textId="77777777" w:rsidR="005C56C1" w:rsidRDefault="005C56C1"/>
    <w:p w14:paraId="36334A8E" w14:textId="77777777" w:rsidR="005C56C1" w:rsidRDefault="009F4270">
      <w:pPr>
        <w:keepNext/>
        <w:spacing w:line="240" w:lineRule="auto"/>
        <w:jc w:val="center"/>
      </w:pPr>
      <w:r>
        <w:rPr>
          <w:sz w:val="28"/>
        </w:rPr>
        <w:t>Bilješka 3.</w:t>
      </w:r>
    </w:p>
    <w:p w14:paraId="68C00931" w14:textId="77777777" w:rsidR="005C56C1" w:rsidRDefault="009F4270">
      <w:pPr>
        <w:spacing w:line="240" w:lineRule="auto"/>
        <w:jc w:val="both"/>
      </w:pPr>
      <w:proofErr w:type="spellStart"/>
      <w:r>
        <w:rPr>
          <w:b/>
        </w:rPr>
        <w:t>Unutargrupne</w:t>
      </w:r>
      <w:proofErr w:type="spellEnd"/>
      <w:r>
        <w:rPr>
          <w:b/>
        </w:rPr>
        <w:t xml:space="preserve"> transakcije koje su u izvještajima eliminirane</w:t>
      </w:r>
    </w:p>
    <w:p w14:paraId="2A2D9450" w14:textId="77777777" w:rsidR="005C56C1" w:rsidRDefault="009F4270">
      <w:pPr>
        <w:spacing w:line="240" w:lineRule="auto"/>
        <w:jc w:val="both"/>
      </w:pPr>
      <w:r>
        <w:t>Eliminirani su prijenosi Općine Bedekovčina prema Dječjem vrtiću Bedekovčina i Općinskoj knjižnici Bedekovčina.</w:t>
      </w:r>
    </w:p>
    <w:p w14:paraId="319F900A" w14:textId="77777777" w:rsidR="005C56C1" w:rsidRDefault="005C56C1"/>
    <w:p w14:paraId="51659457" w14:textId="77777777" w:rsidR="005C56C1" w:rsidRDefault="009F4270">
      <w:pPr>
        <w:keepNext/>
        <w:spacing w:line="240" w:lineRule="auto"/>
        <w:jc w:val="center"/>
      </w:pPr>
      <w:r>
        <w:rPr>
          <w:sz w:val="28"/>
        </w:rPr>
        <w:t>Bilješka 4.</w:t>
      </w:r>
    </w:p>
    <w:p w14:paraId="40F8BD19" w14:textId="77777777" w:rsidR="005C56C1" w:rsidRDefault="009F4270">
      <w:pPr>
        <w:spacing w:line="240" w:lineRule="auto"/>
        <w:jc w:val="both"/>
      </w:pPr>
      <w:r>
        <w:rPr>
          <w:b/>
        </w:rPr>
        <w:t>Manjak ili višak u poslovanju grupe i pregled strukture manjka/viška po proračunskim korisnicima</w:t>
      </w:r>
    </w:p>
    <w:p w14:paraId="217B4CB7" w14:textId="77777777" w:rsidR="005C56C1" w:rsidRDefault="009F4270">
      <w:pPr>
        <w:spacing w:line="240" w:lineRule="auto"/>
        <w:jc w:val="both"/>
      </w:pPr>
      <w:r>
        <w:t>Ukupni manjak prihoda i primitaka iznosi 441.498,98 eura od čega je:  453.579,52 eura - manjak prihoda i primitaka -Općina Bedekovčina 10.561,15 eura - višak prihoda i primitaka – Općinska knjižnica i čitaonica Bedekovčina 1.519,39 eura - višak prihoda i primitaka – Dječji vrtić Bedekovčina</w:t>
      </w:r>
    </w:p>
    <w:p w14:paraId="123AB9C9" w14:textId="77777777" w:rsidR="005C56C1" w:rsidRDefault="005C56C1"/>
    <w:sectPr w:rsidR="005C5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6C1"/>
    <w:rsid w:val="005C56C1"/>
    <w:rsid w:val="009F4270"/>
    <w:rsid w:val="00FB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EEF04"/>
  <w15:docId w15:val="{07DEAAEE-A8F2-4456-AEC2-9B581004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Hajdaš</dc:creator>
  <cp:lastModifiedBy>Suzana Hajdaš</cp:lastModifiedBy>
  <cp:revision>2</cp:revision>
  <dcterms:created xsi:type="dcterms:W3CDTF">2025-07-18T07:04:00Z</dcterms:created>
  <dcterms:modified xsi:type="dcterms:W3CDTF">2025-07-18T07:04:00Z</dcterms:modified>
</cp:coreProperties>
</file>